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 w:rsidR="00FD1384">
        <w:rPr>
          <w:sz w:val="28"/>
          <w:szCs w:val="28"/>
        </w:rPr>
        <w:t>КИ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256176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26.02.2021г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>29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</w:t>
      </w:r>
      <w:r w:rsidR="003D7E76">
        <w:rPr>
          <w:sz w:val="28"/>
        </w:rPr>
        <w:t>56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3D7E76">
        <w:rPr>
          <w:sz w:val="28"/>
        </w:rPr>
        <w:t>26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3D7E76">
        <w:rPr>
          <w:sz w:val="28"/>
        </w:rPr>
        <w:t>2</w:t>
      </w:r>
      <w:r w:rsidR="00EB66ED">
        <w:rPr>
          <w:sz w:val="28"/>
        </w:rPr>
        <w:t>.20</w:t>
      </w:r>
      <w:r w:rsidR="003D7E76">
        <w:rPr>
          <w:sz w:val="28"/>
        </w:rPr>
        <w:t>18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256176">
        <w:rPr>
          <w:color w:val="000000"/>
          <w:kern w:val="2"/>
          <w:sz w:val="24"/>
          <w:szCs w:val="24"/>
        </w:rPr>
        <w:t>26.02.2021г.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256176">
        <w:rPr>
          <w:color w:val="000000"/>
          <w:kern w:val="2"/>
          <w:sz w:val="24"/>
          <w:szCs w:val="24"/>
        </w:rPr>
        <w:t>29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256176">
              <w:rPr>
                <w:sz w:val="24"/>
                <w:szCs w:val="24"/>
              </w:rPr>
              <w:t>34998,3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18</w:t>
            </w:r>
            <w:r w:rsidR="003D7E76">
              <w:rPr>
                <w:sz w:val="24"/>
                <w:szCs w:val="24"/>
              </w:rPr>
              <w:t>89</w:t>
            </w:r>
            <w:r w:rsidR="00D935EF">
              <w:rPr>
                <w:sz w:val="24"/>
                <w:szCs w:val="24"/>
              </w:rPr>
              <w:t xml:space="preserve">2,5 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3D7E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</w:t>
            </w:r>
            <w:r w:rsidR="00256176">
              <w:rPr>
                <w:sz w:val="24"/>
                <w:szCs w:val="24"/>
              </w:rPr>
              <w:t xml:space="preserve"> 15201,8</w:t>
            </w:r>
            <w:r w:rsidR="00AF01B7"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256176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32275,2</w:t>
            </w:r>
            <w:r w:rsidR="004C4E63"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14700,0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2561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30</w:t>
            </w:r>
            <w:r w:rsidRPr="00C56F79">
              <w:rPr>
                <w:sz w:val="24"/>
                <w:szCs w:val="24"/>
              </w:rPr>
              <w:t>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284A63">
              <w:rPr>
                <w:sz w:val="24"/>
                <w:szCs w:val="24"/>
              </w:rPr>
              <w:t>1</w:t>
            </w:r>
            <w:r w:rsidR="00256176">
              <w:rPr>
                <w:sz w:val="24"/>
                <w:szCs w:val="24"/>
              </w:rPr>
              <w:t>160</w:t>
            </w:r>
            <w:r w:rsidR="00D935EF">
              <w:rPr>
                <w:sz w:val="24"/>
                <w:szCs w:val="24"/>
              </w:rPr>
              <w:t>,</w:t>
            </w:r>
            <w:r w:rsidR="00256176">
              <w:rPr>
                <w:sz w:val="24"/>
                <w:szCs w:val="24"/>
              </w:rPr>
              <w:t xml:space="preserve">4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958,6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201</w:t>
            </w:r>
            <w:r w:rsidRPr="00C56F79">
              <w:rPr>
                <w:sz w:val="24"/>
                <w:szCs w:val="24"/>
              </w:rPr>
              <w:t>,</w:t>
            </w:r>
            <w:r w:rsidR="00256176">
              <w:rPr>
                <w:sz w:val="24"/>
                <w:szCs w:val="24"/>
              </w:rPr>
              <w:t>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</w:t>
      </w:r>
      <w:r w:rsidR="00284A6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1E13D6">
        <w:rPr>
          <w:sz w:val="28"/>
          <w:szCs w:val="22"/>
        </w:rPr>
        <w:lastRenderedPageBreak/>
        <w:t>15201,8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256176">
        <w:rPr>
          <w:kern w:val="2"/>
          <w:sz w:val="28"/>
          <w:szCs w:val="28"/>
        </w:rPr>
        <w:t>14700,0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56176">
        <w:rPr>
          <w:sz w:val="28"/>
          <w:szCs w:val="22"/>
        </w:rPr>
        <w:t>300,0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256176">
        <w:rPr>
          <w:sz w:val="28"/>
          <w:szCs w:val="22"/>
        </w:rPr>
        <w:t>201,8</w:t>
      </w:r>
      <w:r w:rsidR="003D7E76">
        <w:rPr>
          <w:sz w:val="28"/>
          <w:szCs w:val="22"/>
        </w:rPr>
        <w:t xml:space="preserve"> </w:t>
      </w:r>
      <w:r w:rsidR="000C7D24" w:rsidRPr="00B538C7">
        <w:rPr>
          <w:kern w:val="2"/>
          <w:sz w:val="28"/>
          <w:szCs w:val="28"/>
        </w:rPr>
        <w:t>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1E13D6">
              <w:rPr>
                <w:sz w:val="28"/>
                <w:szCs w:val="22"/>
              </w:rPr>
              <w:t>34998,3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F31AB">
              <w:rPr>
                <w:sz w:val="28"/>
                <w:szCs w:val="22"/>
              </w:rPr>
              <w:t>18892,5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 w:rsidR="001E13D6">
              <w:rPr>
                <w:sz w:val="28"/>
                <w:szCs w:val="22"/>
              </w:rPr>
              <w:t>15201,8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1E13D6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14700,0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1E13D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CE">
              <w:rPr>
                <w:sz w:val="24"/>
                <w:szCs w:val="24"/>
              </w:rPr>
              <w:t>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30</w:t>
            </w:r>
            <w:r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1E13D6">
              <w:rPr>
                <w:sz w:val="24"/>
                <w:szCs w:val="24"/>
              </w:rPr>
              <w:t>1160,4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5F31AB">
              <w:rPr>
                <w:sz w:val="24"/>
                <w:szCs w:val="24"/>
              </w:rPr>
              <w:t>958,6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201</w:t>
            </w:r>
            <w:r w:rsidRPr="0081572E">
              <w:rPr>
                <w:sz w:val="24"/>
                <w:szCs w:val="24"/>
              </w:rPr>
              <w:t>,</w:t>
            </w:r>
            <w:r w:rsidR="001E13D6">
              <w:rPr>
                <w:sz w:val="24"/>
                <w:szCs w:val="24"/>
              </w:rPr>
              <w:t>8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1E13D6">
        <w:rPr>
          <w:kern w:val="2"/>
          <w:sz w:val="28"/>
          <w:szCs w:val="28"/>
        </w:rPr>
        <w:t xml:space="preserve">15201,8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средства федерального бюджета –</w:t>
      </w:r>
      <w:r w:rsidR="001E13D6">
        <w:rPr>
          <w:kern w:val="2"/>
          <w:sz w:val="28"/>
          <w:szCs w:val="28"/>
        </w:rPr>
        <w:t xml:space="preserve"> 14700,0 </w:t>
      </w:r>
      <w:r>
        <w:rPr>
          <w:kern w:val="2"/>
          <w:sz w:val="28"/>
          <w:szCs w:val="28"/>
        </w:rPr>
        <w:t xml:space="preserve">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1E13D6">
        <w:rPr>
          <w:kern w:val="2"/>
          <w:sz w:val="28"/>
          <w:szCs w:val="28"/>
        </w:rPr>
        <w:t>300,0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1E13D6">
        <w:rPr>
          <w:kern w:val="2"/>
          <w:sz w:val="28"/>
          <w:szCs w:val="28"/>
        </w:rPr>
        <w:t>201,8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C502F8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824C1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824C1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C502F8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F62394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</w:tcPr>
          <w:p w:rsidR="007E6D96" w:rsidRDefault="00C502F8" w:rsidP="00B90A27">
            <w:r>
              <w:t>-</w:t>
            </w:r>
          </w:p>
        </w:tc>
        <w:tc>
          <w:tcPr>
            <w:tcW w:w="827" w:type="dxa"/>
          </w:tcPr>
          <w:p w:rsidR="007E6D96" w:rsidRDefault="00C502F8" w:rsidP="00B90A27">
            <w:r>
              <w:t>-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696" w:type="dxa"/>
        <w:tblLayout w:type="fixed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530"/>
        <w:gridCol w:w="147"/>
        <w:gridCol w:w="1487"/>
        <w:gridCol w:w="279"/>
      </w:tblGrid>
      <w:tr w:rsidR="00212262" w:rsidRPr="00803E5D" w:rsidTr="00536B4A">
        <w:trPr>
          <w:gridAfter w:val="1"/>
          <w:wAfter w:w="279" w:type="dxa"/>
          <w:trHeight w:val="8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536B4A">
        <w:trPr>
          <w:gridAfter w:val="1"/>
          <w:wAfter w:w="279" w:type="dxa"/>
          <w:trHeight w:val="21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536B4A">
        <w:trPr>
          <w:gridAfter w:val="1"/>
          <w:wAfter w:w="279" w:type="dxa"/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536B4A">
        <w:trPr>
          <w:gridAfter w:val="1"/>
          <w:wAfter w:w="279" w:type="dxa"/>
          <w:trHeight w:val="36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536B4A">
        <w:trPr>
          <w:trHeight w:val="4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536B4A">
        <w:trPr>
          <w:gridAfter w:val="1"/>
          <w:wAfter w:w="279" w:type="dxa"/>
          <w:trHeight w:val="37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536B4A">
        <w:trPr>
          <w:gridAfter w:val="1"/>
          <w:wAfter w:w="279" w:type="dxa"/>
          <w:trHeight w:val="3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536B4A">
        <w:trPr>
          <w:gridAfter w:val="1"/>
          <w:wAfter w:w="279" w:type="dxa"/>
          <w:trHeight w:val="294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7F561F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  <w:tr w:rsidR="00536B4A" w:rsidRPr="00803E5D" w:rsidTr="00536B4A">
        <w:trPr>
          <w:gridAfter w:val="1"/>
          <w:wAfter w:w="279" w:type="dxa"/>
          <w:trHeight w:val="29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ОМ 1.1. 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Митякинская, ул. Ленина, 1в (благоустройство)»</w:t>
            </w:r>
          </w:p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удовлетворенности населения муниципального образования Митякинское сельское поселение уровнем благоустройства общественных территорий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удовлетворенности населения муниципального образования 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824C17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34998,3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5F31AB" w:rsidP="001075AC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24C17" w:rsidP="00BD31F8">
            <w: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3D7E76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D7E76" w:rsidRPr="001A11EF" w:rsidRDefault="003D7E76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>Подпрограмма 1</w:t>
            </w:r>
            <w:r w:rsidR="007F7200">
              <w:rPr>
                <w:color w:val="000000"/>
                <w:lang w:eastAsia="en-US"/>
              </w:rPr>
              <w:t>.1</w:t>
            </w:r>
            <w:r w:rsidRPr="001A11EF">
              <w:rPr>
                <w:color w:val="000000"/>
                <w:lang w:eastAsia="en-US"/>
              </w:rPr>
              <w:t xml:space="preserve">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0B1FF1" w:rsidRDefault="003D7E76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C8507D" w:rsidRDefault="00824C17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34998,3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284A6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107BFB" w:rsidP="00284A63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107BFB" w:rsidRDefault="007F7200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7200">
              <w:rPr>
                <w:color w:val="000000"/>
                <w:lang w:eastAsia="en-US"/>
              </w:rPr>
              <w:t xml:space="preserve">Подпрограмма 1.2. </w:t>
            </w:r>
            <w:r w:rsidR="00107BFB" w:rsidRPr="007F7200">
              <w:rPr>
                <w:color w:val="000000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="00107BFB" w:rsidRPr="007F7200">
              <w:rPr>
                <w:color w:val="000000"/>
                <w:lang w:eastAsia="en-US"/>
              </w:rPr>
              <w:t>ст-ца</w:t>
            </w:r>
            <w:proofErr w:type="spellEnd"/>
            <w:r w:rsidR="00107BFB" w:rsidRPr="007F7200">
              <w:rPr>
                <w:color w:val="000000"/>
                <w:lang w:eastAsia="en-US"/>
              </w:rPr>
              <w:t xml:space="preserve"> Митякинская, ул. Ленина, 1в</w:t>
            </w:r>
            <w:r w:rsidR="00107BFB" w:rsidRPr="00107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07BFB" w:rsidRPr="007F7200">
              <w:rPr>
                <w:color w:val="000000"/>
                <w:sz w:val="22"/>
                <w:szCs w:val="22"/>
                <w:lang w:eastAsia="en-US"/>
              </w:rPr>
              <w:t>(благоустройство)»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107BFB" w:rsidP="00B90A27">
            <w: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C502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824C17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E833E9">
              <w:rPr>
                <w:rFonts w:eastAsia="Calibri" w:cs="Calibri"/>
                <w:bCs/>
                <w:spacing w:val="-20"/>
                <w:lang w:eastAsia="ar-SA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CC0948" w:rsidRDefault="00824C17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CC0948" w:rsidRDefault="00824C17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B32426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B32426" w:rsidRDefault="00824C17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824C17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BFB" w:rsidRPr="00115198" w:rsidTr="00107BFB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B32426" w:rsidRDefault="00107BFB" w:rsidP="00107BFB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lastRenderedPageBreak/>
              <w:t>ОМ 1.</w:t>
            </w:r>
            <w:r>
              <w:rPr>
                <w:color w:val="000000"/>
                <w:lang w:eastAsia="en-US"/>
              </w:rPr>
              <w:t>2</w:t>
            </w:r>
            <w:r w:rsidRPr="00B32426">
              <w:rPr>
                <w:color w:val="000000"/>
                <w:lang w:eastAsia="en-US"/>
              </w:rPr>
              <w:t xml:space="preserve">. </w:t>
            </w:r>
            <w:r w:rsidRPr="00107BFB">
              <w:rPr>
                <w:color w:val="000000"/>
                <w:sz w:val="22"/>
                <w:szCs w:val="22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Pr="00107BFB"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 w:rsidRPr="00107BFB">
              <w:rPr>
                <w:color w:val="000000"/>
                <w:sz w:val="22"/>
                <w:szCs w:val="22"/>
                <w:lang w:eastAsia="en-US"/>
              </w:rPr>
              <w:t xml:space="preserve"> Митякинская, ул. Ленина, 1в (благоустройство)»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107BFB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BFB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C17">
        <w:rPr>
          <w:sz w:val="28"/>
          <w:szCs w:val="28"/>
        </w:rPr>
        <w:t>26.02.2021г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24C17">
        <w:rPr>
          <w:sz w:val="28"/>
          <w:szCs w:val="28"/>
        </w:rPr>
        <w:t>29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</w:t>
      </w:r>
      <w:r w:rsidR="00D43A52">
        <w:rPr>
          <w:sz w:val="28"/>
          <w:szCs w:val="28"/>
        </w:rPr>
        <w:t>сельского поселения № 110</w:t>
      </w:r>
      <w:r>
        <w:rPr>
          <w:sz w:val="28"/>
          <w:szCs w:val="28"/>
        </w:rPr>
        <w:t xml:space="preserve"> от </w:t>
      </w:r>
      <w:r w:rsidR="00D43A52">
        <w:rPr>
          <w:sz w:val="28"/>
          <w:szCs w:val="28"/>
        </w:rPr>
        <w:t>18.09</w:t>
      </w:r>
      <w:r>
        <w:rPr>
          <w:sz w:val="28"/>
          <w:szCs w:val="28"/>
        </w:rPr>
        <w:t xml:space="preserve">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Default="007F6E1E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121 от 01.10.2020г.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5F31AB" w:rsidRDefault="005F31AB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139 от 07.12.2020г.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C502F8" w:rsidRDefault="00C502F8" w:rsidP="00C502F8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155 от 10.12.2020г.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824C17" w:rsidRDefault="00824C17" w:rsidP="00824C1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184 от 29.12.2020г.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824C17" w:rsidRDefault="00824C17" w:rsidP="00824C17">
      <w:pPr>
        <w:pStyle w:val="affe"/>
        <w:ind w:left="644"/>
        <w:rPr>
          <w:sz w:val="28"/>
          <w:szCs w:val="28"/>
        </w:rPr>
      </w:pPr>
    </w:p>
    <w:p w:rsidR="00C502F8" w:rsidRDefault="00C502F8" w:rsidP="00C502F8">
      <w:pPr>
        <w:pStyle w:val="affe"/>
        <w:ind w:left="644"/>
        <w:rPr>
          <w:sz w:val="28"/>
          <w:szCs w:val="28"/>
        </w:rPr>
      </w:pPr>
    </w:p>
    <w:p w:rsidR="007F6E1E" w:rsidRPr="007F6E1E" w:rsidRDefault="007F6E1E" w:rsidP="007F6E1E">
      <w:pPr>
        <w:ind w:left="28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41" w:rsidRDefault="00312041" w:rsidP="00E319AE">
      <w:r>
        <w:separator/>
      </w:r>
    </w:p>
  </w:endnote>
  <w:endnote w:type="continuationSeparator" w:id="0">
    <w:p w:rsidR="00312041" w:rsidRDefault="00312041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4A" w:rsidRDefault="00536B4A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7F7200">
        <w:rPr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41" w:rsidRDefault="00312041" w:rsidP="00E319AE">
      <w:r>
        <w:separator/>
      </w:r>
    </w:p>
  </w:footnote>
  <w:footnote w:type="continuationSeparator" w:id="0">
    <w:p w:rsidR="00312041" w:rsidRDefault="00312041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47AA2"/>
    <w:rsid w:val="00050314"/>
    <w:rsid w:val="000570C1"/>
    <w:rsid w:val="00065BCA"/>
    <w:rsid w:val="00082797"/>
    <w:rsid w:val="0008386D"/>
    <w:rsid w:val="000C7D24"/>
    <w:rsid w:val="000D71E9"/>
    <w:rsid w:val="000E7861"/>
    <w:rsid w:val="000F523F"/>
    <w:rsid w:val="001075AC"/>
    <w:rsid w:val="00107BFB"/>
    <w:rsid w:val="001104E6"/>
    <w:rsid w:val="001109E2"/>
    <w:rsid w:val="00110F41"/>
    <w:rsid w:val="00154335"/>
    <w:rsid w:val="001600A4"/>
    <w:rsid w:val="00173004"/>
    <w:rsid w:val="001863E3"/>
    <w:rsid w:val="001E13D6"/>
    <w:rsid w:val="001E472E"/>
    <w:rsid w:val="001E4D26"/>
    <w:rsid w:val="00212262"/>
    <w:rsid w:val="00237717"/>
    <w:rsid w:val="00252825"/>
    <w:rsid w:val="00252D83"/>
    <w:rsid w:val="00256176"/>
    <w:rsid w:val="002578AC"/>
    <w:rsid w:val="00281D91"/>
    <w:rsid w:val="0028235A"/>
    <w:rsid w:val="00284A63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2041"/>
    <w:rsid w:val="003135B7"/>
    <w:rsid w:val="0033081B"/>
    <w:rsid w:val="00355B0A"/>
    <w:rsid w:val="003A5575"/>
    <w:rsid w:val="003B3784"/>
    <w:rsid w:val="003B37D2"/>
    <w:rsid w:val="003B3F60"/>
    <w:rsid w:val="003B7886"/>
    <w:rsid w:val="003C0A33"/>
    <w:rsid w:val="003D7E76"/>
    <w:rsid w:val="003E2E16"/>
    <w:rsid w:val="004059A4"/>
    <w:rsid w:val="004074A5"/>
    <w:rsid w:val="0043751E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C4E63"/>
    <w:rsid w:val="004D2BFD"/>
    <w:rsid w:val="004F72A2"/>
    <w:rsid w:val="0050346A"/>
    <w:rsid w:val="00505AEA"/>
    <w:rsid w:val="00536B4A"/>
    <w:rsid w:val="005415F7"/>
    <w:rsid w:val="00542173"/>
    <w:rsid w:val="0054447E"/>
    <w:rsid w:val="00556974"/>
    <w:rsid w:val="005632E1"/>
    <w:rsid w:val="005656A0"/>
    <w:rsid w:val="00572F5E"/>
    <w:rsid w:val="00575769"/>
    <w:rsid w:val="005929EC"/>
    <w:rsid w:val="00594B16"/>
    <w:rsid w:val="005A1E84"/>
    <w:rsid w:val="005B23DE"/>
    <w:rsid w:val="005F31AB"/>
    <w:rsid w:val="00602E20"/>
    <w:rsid w:val="00661C78"/>
    <w:rsid w:val="0067392D"/>
    <w:rsid w:val="00675590"/>
    <w:rsid w:val="006A5947"/>
    <w:rsid w:val="006B716D"/>
    <w:rsid w:val="006E6230"/>
    <w:rsid w:val="007037AA"/>
    <w:rsid w:val="007166B0"/>
    <w:rsid w:val="007512F4"/>
    <w:rsid w:val="007566E6"/>
    <w:rsid w:val="00784F94"/>
    <w:rsid w:val="00785346"/>
    <w:rsid w:val="00787B6E"/>
    <w:rsid w:val="007B6C58"/>
    <w:rsid w:val="007C2F31"/>
    <w:rsid w:val="007C4B45"/>
    <w:rsid w:val="007E6D96"/>
    <w:rsid w:val="007F240F"/>
    <w:rsid w:val="007F5520"/>
    <w:rsid w:val="007F561F"/>
    <w:rsid w:val="007F6E1E"/>
    <w:rsid w:val="007F7200"/>
    <w:rsid w:val="0081572E"/>
    <w:rsid w:val="00817D8B"/>
    <w:rsid w:val="00824C17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F3D29"/>
    <w:rsid w:val="008F67B4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07613"/>
    <w:rsid w:val="00A240F3"/>
    <w:rsid w:val="00A2738D"/>
    <w:rsid w:val="00A30621"/>
    <w:rsid w:val="00A3668B"/>
    <w:rsid w:val="00A45B54"/>
    <w:rsid w:val="00A60220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BE7EC1"/>
    <w:rsid w:val="00C502F8"/>
    <w:rsid w:val="00C56F79"/>
    <w:rsid w:val="00C62191"/>
    <w:rsid w:val="00C623EF"/>
    <w:rsid w:val="00C66DCE"/>
    <w:rsid w:val="00C80551"/>
    <w:rsid w:val="00D05E28"/>
    <w:rsid w:val="00D43A52"/>
    <w:rsid w:val="00D45699"/>
    <w:rsid w:val="00D61C73"/>
    <w:rsid w:val="00D935EF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C1513"/>
    <w:rsid w:val="00ED19E1"/>
    <w:rsid w:val="00EE09F6"/>
    <w:rsid w:val="00EE143A"/>
    <w:rsid w:val="00EE23B9"/>
    <w:rsid w:val="00F000FA"/>
    <w:rsid w:val="00F16084"/>
    <w:rsid w:val="00F17D58"/>
    <w:rsid w:val="00F25F3C"/>
    <w:rsid w:val="00F52963"/>
    <w:rsid w:val="00F57940"/>
    <w:rsid w:val="00F62394"/>
    <w:rsid w:val="00F64392"/>
    <w:rsid w:val="00F9215E"/>
    <w:rsid w:val="00FB1BED"/>
    <w:rsid w:val="00FD1384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EBF2-A646-43B8-A758-E356B90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11545</Words>
  <Characters>65811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96</cp:revision>
  <cp:lastPrinted>2021-06-24T05:59:00Z</cp:lastPrinted>
  <dcterms:created xsi:type="dcterms:W3CDTF">2018-10-09T05:43:00Z</dcterms:created>
  <dcterms:modified xsi:type="dcterms:W3CDTF">2021-06-24T06:01:00Z</dcterms:modified>
</cp:coreProperties>
</file>